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The Supplier shall </w:t>
      </w:r>
      <w:r w:rsidDel="00000000" w:rsidR="00000000" w:rsidRPr="00000000">
        <w:rPr>
          <w:rFonts w:ascii="Arial" w:cs="Arial" w:eastAsia="Arial" w:hAnsi="Arial"/>
          <w:sz w:val="24"/>
          <w:szCs w:val="24"/>
          <w:rtl w:val="0"/>
        </w:rPr>
        <w:t xml:space="preserve">provide such other additional information in relation to, or connected with, this Contract as CCS may request from time to time.</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Framework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Reporting period</w:t>
      </w: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r w:rsidDel="00000000" w:rsidR="00000000" w:rsidRPr="00000000">
        <w:rPr>
          <w:rtl w:val="0"/>
        </w:rPr>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promptly after the Framework Start Date provide an e-mail and/or postal address to which CCS will send invoices for the Management Charge and monthly statements relating to the invoicing of the Management Charge;</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promptly after the Framework Start Date provide at least one contact name and contact details for the purposes of queries relating to either Management Information or invoicing; and</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immediately notify CCS of any changes to the details previously provided to CCS under this Paragraph 3.5.</w:t>
      </w:r>
      <w:r w:rsidDel="00000000" w:rsidR="00000000" w:rsidRPr="00000000">
        <w:rPr>
          <w:rtl w:val="0"/>
        </w:rPr>
      </w:r>
    </w:p>
    <w:p w:rsidR="00000000" w:rsidDel="00000000" w:rsidP="00000000" w:rsidRDefault="00000000" w:rsidRPr="00000000" w14:paraId="00000014">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use and to share with any Buyer, Other Contracting Authority and Relevant Authority; and/or</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firstLine="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r w:rsidDel="00000000" w:rsidR="00000000" w:rsidRPr="00000000">
        <w:rPr>
          <w:rtl w:val="0"/>
        </w:rPr>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Framework Schedule) in cleared funds within 30 days of receipt by the Supplier of an undisputed invoice to such bank or building society account set out in the invoice. </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For the avoidance of doubt, the Management Charge shall be payable during the Framework Contract Period (including any Framework Managed Exit Period). </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134"/>
          <w:tab w:val="left" w:leader="none" w:pos="284"/>
          <w:tab w:val="left" w:leader="none" w:pos="993"/>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terminating this Contract.</w:t>
      </w:r>
      <w:r w:rsidDel="00000000" w:rsidR="00000000" w:rsidRPr="00000000">
        <w:rPr>
          <w:rtl w:val="0"/>
        </w:rPr>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r w:rsidDel="00000000" w:rsidR="00000000" w:rsidRPr="00000000">
        <w:rPr>
          <w:rtl w:val="0"/>
        </w:rPr>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bookmarkStart w:colFirst="0" w:colLast="0" w:name="_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terminate this Contract.  </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bookmarkStart w:colFirst="0" w:colLast="0" w:name="_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the sum of five hundred pounds (£500).</w:t>
      </w:r>
      <w:r w:rsidDel="00000000" w:rsidR="00000000" w:rsidRPr="00000000">
        <w:rPr>
          <w:rtl w:val="0"/>
        </w:rPr>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93" w:hanging="567"/>
        <w:jc w:val="left"/>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134"/>
          <w:tab w:val="left" w:leader="none" w:pos="1843"/>
        </w:tabs>
        <w:spacing w:after="120" w:before="120" w:lineRule="auto"/>
        <w:ind w:left="1843" w:hanging="709"/>
        <w:jc w:val="left"/>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r w:rsidDel="00000000" w:rsidR="00000000" w:rsidRPr="00000000">
        <w:rPr>
          <w:rtl w:val="0"/>
        </w:rPr>
      </w:r>
    </w:p>
    <w:p w:rsidR="00000000" w:rsidDel="00000000" w:rsidP="00000000" w:rsidRDefault="00000000" w:rsidRPr="00000000" w14:paraId="0000003A">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B">
      <w:pP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MI Reporting Template</w:t>
      </w:r>
    </w:p>
    <w:p w:rsidR="00000000" w:rsidDel="00000000" w:rsidP="00000000" w:rsidRDefault="00000000" w:rsidRPr="00000000" w14:paraId="0000003C">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CCS and the Supplier shall agree the form of MI reporting meeting the reasonable requirements of CCS within thirty (30) days of the Framework Start Date. If no such form is agreed, CCS shall provide a MI template to the Supplier.  </w:t>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jc w:val="left"/>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p w:rsidR="00000000" w:rsidDel="00000000" w:rsidP="00000000" w:rsidRDefault="00000000" w:rsidRPr="00000000" w14:paraId="0000005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78557537.5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78557537.5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78557537.5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